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EE0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bookmarkStart w:id="0" w:name="_GoBack"/>
      <w:bookmarkEnd w:id="0"/>
    </w:p>
    <w:p w14:paraId="395D1E0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67" w:line="600" w:lineRule="exact"/>
        <w:ind w:left="4453"/>
        <w:textAlignment w:val="auto"/>
        <w:outlineLvl w:val="0"/>
        <w:rPr>
          <w:sz w:val="43"/>
          <w:szCs w:val="43"/>
        </w:rPr>
      </w:pPr>
      <w:r>
        <w:rPr>
          <w:spacing w:val="10"/>
          <w:sz w:val="43"/>
          <w:szCs w:val="43"/>
        </w:rPr>
        <w:t>校园安全风险隐患问题清单</w:t>
      </w:r>
    </w:p>
    <w:p w14:paraId="39052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95" w:line="600" w:lineRule="exact"/>
        <w:ind w:left="638"/>
        <w:textAlignment w:val="auto"/>
        <w:rPr>
          <w:rFonts w:ascii="KaiTi_GB2312" w:hAnsi="KaiTi_GB2312" w:eastAsia="KaiTi_GB2312" w:cs="KaiTi_GB2312"/>
          <w:sz w:val="29"/>
          <w:szCs w:val="29"/>
        </w:rPr>
      </w:pPr>
      <w:r>
        <w:rPr>
          <w:rFonts w:ascii="KaiTi_GB2312" w:hAnsi="KaiTi_GB2312" w:eastAsia="KaiTi_GB2312" w:cs="KaiTi_GB2312"/>
          <w:spacing w:val="-2"/>
          <w:sz w:val="29"/>
          <w:szCs w:val="29"/>
        </w:rPr>
        <w:t>填报单位</w:t>
      </w:r>
      <w:r>
        <w:rPr>
          <w:rFonts w:ascii="KaiTi_GB2312" w:hAnsi="KaiTi_GB2312" w:eastAsia="KaiTi_GB2312" w:cs="KaiTi_GB2312"/>
          <w:spacing w:val="-20"/>
          <w:sz w:val="29"/>
          <w:szCs w:val="29"/>
        </w:rPr>
        <w:t>：（</w:t>
      </w:r>
      <w:r>
        <w:rPr>
          <w:rFonts w:ascii="KaiTi_GB2312" w:hAnsi="KaiTi_GB2312" w:eastAsia="KaiTi_GB2312" w:cs="KaiTi_GB2312"/>
          <w:spacing w:val="-2"/>
          <w:sz w:val="29"/>
          <w:szCs w:val="29"/>
        </w:rPr>
        <w:t xml:space="preserve">加盖公章）                     </w:t>
      </w:r>
      <w:r>
        <w:rPr>
          <w:rFonts w:ascii="KaiTi_GB2312" w:hAnsi="KaiTi_GB2312" w:eastAsia="KaiTi_GB2312" w:cs="KaiTi_GB2312"/>
          <w:spacing w:val="-3"/>
          <w:sz w:val="29"/>
          <w:szCs w:val="29"/>
        </w:rPr>
        <w:t xml:space="preserve">              主要负责同志</w:t>
      </w:r>
      <w:r>
        <w:rPr>
          <w:rFonts w:ascii="KaiTi_GB2312" w:hAnsi="KaiTi_GB2312" w:eastAsia="KaiTi_GB2312" w:cs="KaiTi_GB2312"/>
          <w:spacing w:val="-20"/>
          <w:sz w:val="29"/>
          <w:szCs w:val="29"/>
        </w:rPr>
        <w:t>：（</w:t>
      </w:r>
      <w:r>
        <w:rPr>
          <w:rFonts w:ascii="KaiTi_GB2312" w:hAnsi="KaiTi_GB2312" w:eastAsia="KaiTi_GB2312" w:cs="KaiTi_GB2312"/>
          <w:spacing w:val="-3"/>
          <w:sz w:val="29"/>
          <w:szCs w:val="29"/>
        </w:rPr>
        <w:t>签字）</w:t>
      </w:r>
    </w:p>
    <w:tbl>
      <w:tblPr>
        <w:tblStyle w:val="7"/>
        <w:tblW w:w="1417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2"/>
        <w:gridCol w:w="2639"/>
        <w:gridCol w:w="1649"/>
        <w:gridCol w:w="1500"/>
        <w:gridCol w:w="1829"/>
        <w:gridCol w:w="2159"/>
        <w:gridCol w:w="2189"/>
        <w:gridCol w:w="1504"/>
      </w:tblGrid>
      <w:tr w14:paraId="1D248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2" w:type="dxa"/>
            <w:vMerge w:val="restart"/>
            <w:tcBorders>
              <w:bottom w:val="nil"/>
            </w:tcBorders>
            <w:vAlign w:val="center"/>
          </w:tcPr>
          <w:p w14:paraId="605EB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序号</w:t>
            </w:r>
          </w:p>
        </w:tc>
        <w:tc>
          <w:tcPr>
            <w:tcW w:w="2639" w:type="dxa"/>
            <w:vMerge w:val="restart"/>
            <w:tcBorders>
              <w:bottom w:val="nil"/>
            </w:tcBorders>
            <w:vAlign w:val="center"/>
          </w:tcPr>
          <w:p w14:paraId="670D6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265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风险隐患事项</w:t>
            </w: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br w:type="textWrapping"/>
            </w:r>
            <w:r>
              <w:rPr>
                <w:rFonts w:ascii="黑体" w:hAnsi="黑体" w:eastAsia="黑体" w:cs="黑体"/>
                <w:spacing w:val="-2"/>
                <w:sz w:val="23"/>
                <w:szCs w:val="23"/>
              </w:rPr>
              <w:t>（如X号学生宿舍）</w:t>
            </w:r>
          </w:p>
        </w:tc>
        <w:tc>
          <w:tcPr>
            <w:tcW w:w="1649" w:type="dxa"/>
            <w:vMerge w:val="restart"/>
            <w:tcBorders>
              <w:bottom w:val="nil"/>
            </w:tcBorders>
            <w:vAlign w:val="center"/>
          </w:tcPr>
          <w:p w14:paraId="40E5F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隐患描述</w:t>
            </w:r>
          </w:p>
        </w:tc>
        <w:tc>
          <w:tcPr>
            <w:tcW w:w="1500" w:type="dxa"/>
            <w:vMerge w:val="restart"/>
            <w:tcBorders>
              <w:bottom w:val="nil"/>
            </w:tcBorders>
            <w:vAlign w:val="center"/>
          </w:tcPr>
          <w:p w14:paraId="306D7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整改措施</w:t>
            </w:r>
          </w:p>
        </w:tc>
        <w:tc>
          <w:tcPr>
            <w:tcW w:w="6177" w:type="dxa"/>
            <w:gridSpan w:val="3"/>
            <w:vAlign w:val="center"/>
          </w:tcPr>
          <w:p w14:paraId="41F08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整改进展</w:t>
            </w:r>
          </w:p>
        </w:tc>
        <w:tc>
          <w:tcPr>
            <w:tcW w:w="1504" w:type="dxa"/>
            <w:vMerge w:val="restart"/>
            <w:tcBorders>
              <w:bottom w:val="nil"/>
            </w:tcBorders>
            <w:vAlign w:val="center"/>
          </w:tcPr>
          <w:p w14:paraId="61415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-2"/>
                <w:sz w:val="23"/>
                <w:szCs w:val="23"/>
              </w:rPr>
              <w:t>责任人姓名及手机号</w:t>
            </w:r>
          </w:p>
        </w:tc>
      </w:tr>
      <w:tr w14:paraId="4CB798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702" w:type="dxa"/>
            <w:vMerge w:val="continue"/>
            <w:tcBorders>
              <w:top w:val="nil"/>
            </w:tcBorders>
            <w:vAlign w:val="center"/>
          </w:tcPr>
          <w:p w14:paraId="35B9A5F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</w:pPr>
          </w:p>
        </w:tc>
        <w:tc>
          <w:tcPr>
            <w:tcW w:w="2639" w:type="dxa"/>
            <w:vMerge w:val="continue"/>
            <w:tcBorders>
              <w:top w:val="nil"/>
            </w:tcBorders>
            <w:vAlign w:val="center"/>
          </w:tcPr>
          <w:p w14:paraId="4C7445A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</w:pPr>
          </w:p>
        </w:tc>
        <w:tc>
          <w:tcPr>
            <w:tcW w:w="1649" w:type="dxa"/>
            <w:vMerge w:val="continue"/>
            <w:tcBorders>
              <w:top w:val="nil"/>
            </w:tcBorders>
            <w:vAlign w:val="center"/>
          </w:tcPr>
          <w:p w14:paraId="62EF98B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</w:pPr>
          </w:p>
        </w:tc>
        <w:tc>
          <w:tcPr>
            <w:tcW w:w="1500" w:type="dxa"/>
            <w:vMerge w:val="continue"/>
            <w:tcBorders>
              <w:top w:val="nil"/>
            </w:tcBorders>
            <w:vAlign w:val="center"/>
          </w:tcPr>
          <w:p w14:paraId="43F3E11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</w:pPr>
          </w:p>
        </w:tc>
        <w:tc>
          <w:tcPr>
            <w:tcW w:w="1829" w:type="dxa"/>
            <w:vAlign w:val="center"/>
          </w:tcPr>
          <w:p w14:paraId="5BFA7D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是否完成整改</w:t>
            </w:r>
          </w:p>
        </w:tc>
        <w:tc>
          <w:tcPr>
            <w:tcW w:w="2159" w:type="dxa"/>
            <w:vAlign w:val="center"/>
          </w:tcPr>
          <w:p w14:paraId="0DF52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拟完成整改时限</w:t>
            </w:r>
          </w:p>
        </w:tc>
        <w:tc>
          <w:tcPr>
            <w:tcW w:w="2189" w:type="dxa"/>
            <w:vAlign w:val="center"/>
          </w:tcPr>
          <w:p w14:paraId="76D509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加快整改的考虑</w:t>
            </w:r>
          </w:p>
        </w:tc>
        <w:tc>
          <w:tcPr>
            <w:tcW w:w="1504" w:type="dxa"/>
            <w:vMerge w:val="continue"/>
            <w:tcBorders>
              <w:top w:val="nil"/>
            </w:tcBorders>
            <w:vAlign w:val="top"/>
          </w:tcPr>
          <w:p w14:paraId="3AAA40C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</w:tr>
      <w:tr w14:paraId="62B0CA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2" w:type="dxa"/>
            <w:vAlign w:val="center"/>
          </w:tcPr>
          <w:p w14:paraId="7F89B8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/>
              <w:jc w:val="center"/>
              <w:textAlignment w:val="auto"/>
              <w:rPr>
                <w:rFonts w:ascii="FangSong_GB2312" w:hAnsi="FangSong_GB2312" w:eastAsia="FangSong_GB2312" w:cs="FangSong_GB2312"/>
                <w:sz w:val="23"/>
                <w:szCs w:val="23"/>
              </w:rPr>
            </w:pPr>
            <w:r>
              <w:rPr>
                <w:rFonts w:ascii="FangSong_GB2312" w:hAnsi="FangSong_GB2312" w:eastAsia="FangSong_GB2312" w:cs="FangSong_GB2312"/>
                <w:sz w:val="23"/>
                <w:szCs w:val="23"/>
              </w:rPr>
              <w:t>1</w:t>
            </w:r>
          </w:p>
        </w:tc>
        <w:tc>
          <w:tcPr>
            <w:tcW w:w="2639" w:type="dxa"/>
            <w:vAlign w:val="top"/>
          </w:tcPr>
          <w:p w14:paraId="01A2EFF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649" w:type="dxa"/>
            <w:vAlign w:val="top"/>
          </w:tcPr>
          <w:p w14:paraId="6DB8BC7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500" w:type="dxa"/>
            <w:vAlign w:val="top"/>
          </w:tcPr>
          <w:p w14:paraId="38068B5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829" w:type="dxa"/>
            <w:vAlign w:val="top"/>
          </w:tcPr>
          <w:p w14:paraId="182FBAB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2159" w:type="dxa"/>
            <w:vAlign w:val="top"/>
          </w:tcPr>
          <w:p w14:paraId="5006672F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2189" w:type="dxa"/>
            <w:vAlign w:val="top"/>
          </w:tcPr>
          <w:p w14:paraId="7B8A9D0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504" w:type="dxa"/>
            <w:vAlign w:val="top"/>
          </w:tcPr>
          <w:p w14:paraId="49CCF6D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</w:tr>
      <w:tr w14:paraId="6B313C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02" w:type="dxa"/>
            <w:vAlign w:val="center"/>
          </w:tcPr>
          <w:p w14:paraId="533DF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/>
              <w:jc w:val="center"/>
              <w:textAlignment w:val="auto"/>
              <w:rPr>
                <w:rFonts w:ascii="FangSong_GB2312" w:hAnsi="FangSong_GB2312" w:eastAsia="FangSong_GB2312" w:cs="FangSong_GB2312"/>
                <w:sz w:val="23"/>
                <w:szCs w:val="23"/>
              </w:rPr>
            </w:pPr>
            <w:r>
              <w:rPr>
                <w:rFonts w:ascii="FangSong_GB2312" w:hAnsi="FangSong_GB2312" w:eastAsia="FangSong_GB2312" w:cs="FangSong_GB2312"/>
                <w:sz w:val="23"/>
                <w:szCs w:val="23"/>
              </w:rPr>
              <w:t>2</w:t>
            </w:r>
          </w:p>
        </w:tc>
        <w:tc>
          <w:tcPr>
            <w:tcW w:w="2639" w:type="dxa"/>
            <w:vAlign w:val="top"/>
          </w:tcPr>
          <w:p w14:paraId="7EA53D5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649" w:type="dxa"/>
            <w:vAlign w:val="top"/>
          </w:tcPr>
          <w:p w14:paraId="5A4C966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500" w:type="dxa"/>
            <w:vAlign w:val="top"/>
          </w:tcPr>
          <w:p w14:paraId="020A20D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829" w:type="dxa"/>
            <w:vAlign w:val="top"/>
          </w:tcPr>
          <w:p w14:paraId="69C2306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2159" w:type="dxa"/>
            <w:vAlign w:val="top"/>
          </w:tcPr>
          <w:p w14:paraId="07F7949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2189" w:type="dxa"/>
            <w:vAlign w:val="top"/>
          </w:tcPr>
          <w:p w14:paraId="37B4940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504" w:type="dxa"/>
            <w:vAlign w:val="top"/>
          </w:tcPr>
          <w:p w14:paraId="47AB286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</w:tr>
      <w:tr w14:paraId="691DE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702" w:type="dxa"/>
            <w:vAlign w:val="center"/>
          </w:tcPr>
          <w:p w14:paraId="588902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/>
              <w:jc w:val="center"/>
              <w:textAlignment w:val="auto"/>
              <w:rPr>
                <w:rFonts w:ascii="FangSong_GB2312" w:hAnsi="FangSong_GB2312" w:eastAsia="FangSong_GB2312" w:cs="FangSong_GB2312"/>
                <w:sz w:val="23"/>
                <w:szCs w:val="23"/>
              </w:rPr>
            </w:pPr>
            <w:r>
              <w:rPr>
                <w:rFonts w:ascii="FangSong_GB2312" w:hAnsi="FangSong_GB2312" w:eastAsia="FangSong_GB2312" w:cs="FangSong_GB2312"/>
                <w:sz w:val="23"/>
                <w:szCs w:val="23"/>
              </w:rPr>
              <w:t>…</w:t>
            </w:r>
          </w:p>
        </w:tc>
        <w:tc>
          <w:tcPr>
            <w:tcW w:w="2639" w:type="dxa"/>
            <w:vAlign w:val="top"/>
          </w:tcPr>
          <w:p w14:paraId="5520949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649" w:type="dxa"/>
            <w:vAlign w:val="top"/>
          </w:tcPr>
          <w:p w14:paraId="1AAC617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500" w:type="dxa"/>
            <w:vAlign w:val="top"/>
          </w:tcPr>
          <w:p w14:paraId="47084B7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829" w:type="dxa"/>
            <w:vAlign w:val="top"/>
          </w:tcPr>
          <w:p w14:paraId="26BFAB2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2159" w:type="dxa"/>
            <w:vAlign w:val="top"/>
          </w:tcPr>
          <w:p w14:paraId="1D5DBE2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2189" w:type="dxa"/>
            <w:vAlign w:val="top"/>
          </w:tcPr>
          <w:p w14:paraId="3441DE4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  <w:tc>
          <w:tcPr>
            <w:tcW w:w="1504" w:type="dxa"/>
            <w:vAlign w:val="top"/>
          </w:tcPr>
          <w:p w14:paraId="56071BB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textAlignment w:val="auto"/>
            </w:pPr>
          </w:p>
        </w:tc>
      </w:tr>
    </w:tbl>
    <w:p w14:paraId="7ABA6D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right="0" w:firstLine="0"/>
        <w:textAlignment w:val="auto"/>
        <w:rPr>
          <w:rFonts w:hint="eastAsia" w:ascii="KaiTi_GB2312" w:hAnsi="KaiTi_GB2312" w:eastAsia="KaiTi_GB2312" w:cs="KaiTi_GB2312"/>
          <w:spacing w:val="-5"/>
          <w:sz w:val="28"/>
          <w:szCs w:val="28"/>
          <w:lang w:eastAsia="zh-CN"/>
        </w:rPr>
      </w:pPr>
      <w:r>
        <w:rPr>
          <w:rFonts w:hint="eastAsia" w:ascii="KaiTi_GB2312" w:hAnsi="KaiTi_GB2312" w:eastAsia="KaiTi_GB2312" w:cs="KaiTi_GB2312"/>
          <w:spacing w:val="-5"/>
          <w:sz w:val="28"/>
          <w:szCs w:val="28"/>
          <w:lang w:eastAsia="zh-CN"/>
        </w:rPr>
        <w:t>截至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val="en-US" w:eastAsia="zh-CN"/>
        </w:rPr>
        <w:t>××</w:t>
      </w:r>
      <w:r>
        <w:rPr>
          <w:rFonts w:ascii="KaiTi_GB2312" w:hAnsi="KaiTi_GB2312" w:eastAsia="KaiTi_GB2312" w:cs="KaiTi_GB2312"/>
          <w:spacing w:val="-5"/>
          <w:sz w:val="28"/>
          <w:szCs w:val="28"/>
        </w:rPr>
        <w:t>年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val="en-US" w:eastAsia="zh-CN"/>
        </w:rPr>
        <w:t>××</w:t>
      </w:r>
      <w:r>
        <w:rPr>
          <w:rFonts w:ascii="KaiTi_GB2312" w:hAnsi="KaiTi_GB2312" w:eastAsia="KaiTi_GB2312" w:cs="KaiTi_GB2312"/>
          <w:spacing w:val="-5"/>
          <w:sz w:val="28"/>
          <w:szCs w:val="28"/>
        </w:rPr>
        <w:t>月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val="en-US" w:eastAsia="zh-CN"/>
        </w:rPr>
        <w:t>××</w:t>
      </w:r>
      <w:r>
        <w:rPr>
          <w:rFonts w:ascii="KaiTi_GB2312" w:hAnsi="KaiTi_GB2312" w:eastAsia="KaiTi_GB2312" w:cs="KaiTi_GB2312"/>
          <w:spacing w:val="-5"/>
          <w:sz w:val="28"/>
          <w:szCs w:val="28"/>
        </w:rPr>
        <w:t>日，共梳理风险隐患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val="en-US" w:eastAsia="zh-CN"/>
        </w:rPr>
        <w:t>×</w:t>
      </w:r>
      <w:r>
        <w:rPr>
          <w:rFonts w:ascii="KaiTi_GB2312" w:hAnsi="KaiTi_GB2312" w:eastAsia="KaiTi_GB2312" w:cs="KaiTi_GB2312"/>
          <w:spacing w:val="-5"/>
          <w:sz w:val="28"/>
          <w:szCs w:val="28"/>
        </w:rPr>
        <w:t>条，已完成整改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val="en-US" w:eastAsia="zh-CN"/>
        </w:rPr>
        <w:t>×</w:t>
      </w:r>
      <w:r>
        <w:rPr>
          <w:rFonts w:ascii="KaiTi_GB2312" w:hAnsi="KaiTi_GB2312" w:eastAsia="KaiTi_GB2312" w:cs="KaiTi_GB2312"/>
          <w:spacing w:val="-5"/>
          <w:sz w:val="28"/>
          <w:szCs w:val="28"/>
        </w:rPr>
        <w:t>条，完成度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val="en-US" w:eastAsia="zh-CN"/>
        </w:rPr>
        <w:t>×</w:t>
      </w:r>
      <w:r>
        <w:rPr>
          <w:rFonts w:ascii="KaiTi_GB2312" w:hAnsi="KaiTi_GB2312" w:eastAsia="KaiTi_GB2312" w:cs="KaiTi_GB2312"/>
          <w:spacing w:val="-5"/>
          <w:sz w:val="28"/>
          <w:szCs w:val="28"/>
        </w:rPr>
        <w:t>%</w:t>
      </w:r>
      <w:r>
        <w:rPr>
          <w:rFonts w:hint="eastAsia" w:ascii="KaiTi_GB2312" w:hAnsi="KaiTi_GB2312" w:eastAsia="KaiTi_GB2312" w:cs="KaiTi_GB2312"/>
          <w:spacing w:val="-5"/>
          <w:sz w:val="28"/>
          <w:szCs w:val="28"/>
          <w:lang w:eastAsia="zh-CN"/>
        </w:rPr>
        <w:t>。</w:t>
      </w:r>
    </w:p>
    <w:p w14:paraId="07CD5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right="0" w:firstLine="0"/>
        <w:textAlignment w:val="auto"/>
        <w:rPr>
          <w:rFonts w:hint="eastAsia" w:ascii="KaiTi_GB2312" w:hAnsi="KaiTi_GB2312" w:eastAsia="KaiTi_GB2312" w:cs="KaiTi_GB2312"/>
          <w:spacing w:val="-1"/>
          <w:sz w:val="28"/>
          <w:szCs w:val="28"/>
          <w:lang w:val="en-US" w:eastAsia="zh-CN"/>
        </w:rPr>
      </w:pPr>
      <w:r>
        <w:rPr>
          <w:rFonts w:ascii="KaiTi_GB2312" w:hAnsi="KaiTi_GB2312" w:eastAsia="KaiTi_GB2312" w:cs="KaiTi_GB2312"/>
          <w:spacing w:val="-1"/>
          <w:sz w:val="28"/>
          <w:szCs w:val="28"/>
        </w:rPr>
        <w:t>填表</w:t>
      </w:r>
      <w:r>
        <w:rPr>
          <w:rFonts w:hint="eastAsia" w:ascii="KaiTi_GB2312" w:hAnsi="KaiTi_GB2312" w:eastAsia="KaiTi_GB2312" w:cs="KaiTi_GB2312"/>
          <w:spacing w:val="-1"/>
          <w:sz w:val="28"/>
          <w:szCs w:val="28"/>
          <w:lang w:val="en-US" w:eastAsia="zh-CN"/>
        </w:rPr>
        <w:t>人及</w:t>
      </w:r>
      <w:r>
        <w:rPr>
          <w:rFonts w:ascii="KaiTi_GB2312" w:hAnsi="KaiTi_GB2312" w:eastAsia="KaiTi_GB2312" w:cs="KaiTi_GB2312"/>
          <w:spacing w:val="-1"/>
          <w:sz w:val="28"/>
          <w:szCs w:val="28"/>
        </w:rPr>
        <w:t>联系</w:t>
      </w:r>
      <w:r>
        <w:rPr>
          <w:rFonts w:hint="eastAsia" w:ascii="KaiTi_GB2312" w:hAnsi="KaiTi_GB2312" w:eastAsia="KaiTi_GB2312" w:cs="KaiTi_GB2312"/>
          <w:spacing w:val="-1"/>
          <w:sz w:val="28"/>
          <w:szCs w:val="28"/>
          <w:lang w:val="en-US" w:eastAsia="zh-CN"/>
        </w:rPr>
        <w:t>方式：</w:t>
      </w:r>
    </w:p>
    <w:p w14:paraId="5030B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6838" w:h="11906" w:orient="landscape"/>
      <w:pgMar w:top="1587" w:right="1701" w:bottom="1587" w:left="1701" w:header="708" w:footer="709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KaiTi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aiTi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D821A9">
    <w:pPr>
      <w:spacing w:line="240" w:lineRule="auto"/>
      <w:rPr>
        <w:rFonts w:ascii="FangSong_GB2312" w:hAnsi="FangSong_GB2312" w:eastAsia="FangSong_GB2312" w:cs="FangSong_GB2312"/>
        <w:sz w:val="29"/>
        <w:szCs w:val="2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NmYWRjY2ZlMmRkMTE0MmIwNmFkMTZiY2Y3NzAyMDkifQ=="/>
  </w:docVars>
  <w:rsids>
    <w:rsidRoot w:val="6908542C"/>
    <w:rsid w:val="07F03249"/>
    <w:rsid w:val="177D56FE"/>
    <w:rsid w:val="2A7356B5"/>
    <w:rsid w:val="43212B30"/>
    <w:rsid w:val="5AE83531"/>
    <w:rsid w:val="5C02145B"/>
    <w:rsid w:val="6908542C"/>
    <w:rsid w:val="6B717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小标宋简体" w:hAnsi="方正小标宋简体" w:eastAsia="方正小标宋简体" w:cs="方正小标宋简体"/>
      <w:sz w:val="78"/>
      <w:szCs w:val="78"/>
      <w:lang w:val="en-US" w:eastAsia="en-US" w:bidi="ar-SA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1575</Words>
  <Characters>1604</Characters>
  <Lines>0</Lines>
  <Paragraphs>0</Paragraphs>
  <TotalTime>12</TotalTime>
  <ScaleCrop>false</ScaleCrop>
  <LinksUpToDate>false</LinksUpToDate>
  <CharactersWithSpaces>1694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2025-11-14T01:36:00Z</dcterms:created>
  <dc:creator>透心丶</dc:creator>
  <cp:lastModifiedBy>冯文</cp:lastModifiedBy>
  <dcterms:modified xsi:type="dcterms:W3CDTF">2025-11-14T09:30:13Z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EAA4CC7DCCEB4256A34FD17EE222715F_13</vt:lpwstr>
  </property>
  <property fmtid="{D5CDD505-2E9C-101B-9397-08002B2CF9AE}" pid="4" name="KSOTemplateDocerSaveRecord">
    <vt:lpwstr>eyJoZGlkIjoiNWFhZWUzYjk1NTUyM2U0MWM0MDBlZmFhMThkZDM3MDciLCJ1c2VySWQiOiI3MTIyMTk5NDcifQ==</vt:lpwstr>
  </property>
</Properties>
</file>